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C39E8" w14:textId="77777777" w:rsidR="00652663" w:rsidRDefault="00000000" w:rsidP="00D16B64">
      <w:r>
        <w:rPr>
          <w:b/>
          <w:sz w:val="32"/>
        </w:rPr>
        <w:t>ANEXO TÉCNICO Y METODOLÓGICO: DISEÑO DE INTERFACES DE USUARIO Y MAPA DE NAVEGACIÓN (UI/UX)</w:t>
      </w:r>
      <w:r>
        <w:rPr>
          <w:b/>
          <w:sz w:val="32"/>
        </w:rPr>
        <w:br/>
        <w:t>Plataforma Publicitaria Naltel - elSitiolegal A&amp;C</w:t>
      </w:r>
    </w:p>
    <w:p w14:paraId="1126791D" w14:textId="77777777" w:rsidR="00652663" w:rsidRDefault="00000000" w:rsidP="00CA152A">
      <w:pPr>
        <w:pStyle w:val="Ttulo1"/>
        <w:jc w:val="both"/>
      </w:pPr>
      <w:r>
        <w:t>1. Introducción y Enfoque de Experiencia de Usuario (UI/UX)</w:t>
      </w:r>
    </w:p>
    <w:p w14:paraId="0C00FC85" w14:textId="77777777" w:rsidR="00652663" w:rsidRDefault="00000000" w:rsidP="00CA152A">
      <w:pPr>
        <w:jc w:val="both"/>
      </w:pPr>
      <w:r>
        <w:t>El presente documento técnico establece los lineamientos, especificaciones y criterios de diseño de interfaces de usuario (UI) y experiencia de usuario (UX) para la plataforma publicitaria 'Naltel'. Desarrollado en el marco de la etapa productiva en la empresa elSitiolegal A&amp;C (Pasto, Nariño), este componente metodológico da cumplimiento riguroso a las exigencias del programa de Análisis y Desarrollo de Software (ADSO) del SENA. El objetivo principal de esta fase es traducir los requerimientos funcionales y el modelado UML previo en interfaces intuitivas, accesibles y altamente funcionales para los operadores jurídicos, administradores, anunciantes y portales aliados.</w:t>
      </w:r>
    </w:p>
    <w:p w14:paraId="1CE42986" w14:textId="77777777" w:rsidR="00652663" w:rsidRDefault="00000000" w:rsidP="00CA152A">
      <w:pPr>
        <w:pStyle w:val="Ttulo1"/>
        <w:jc w:val="both"/>
      </w:pPr>
      <w:r>
        <w:t>2. Identidad Visual y Sistema de Diseño Corporativo</w:t>
      </w:r>
    </w:p>
    <w:p w14:paraId="7819BDC9" w14:textId="77777777" w:rsidR="00652663" w:rsidRDefault="00000000" w:rsidP="00CA152A">
      <w:pPr>
        <w:jc w:val="both"/>
      </w:pPr>
      <w:r>
        <w:t>Para garantizar la consistencia visual y la sobriedad institucional requerida por una agencia jurídica y de servicios tecnológicos, se ha definido un sistema de diseño basado en principios de accesibilidad (WCAG 2.1 nivel AA) y una paleta cromática controlada:</w:t>
      </w:r>
    </w:p>
    <w:p w14:paraId="0E92CC7F" w14:textId="77777777" w:rsidR="00652663" w:rsidRDefault="00000000" w:rsidP="00CA152A">
      <w:pPr>
        <w:jc w:val="both"/>
      </w:pPr>
      <w:r>
        <w:t>• Color Primario (Azul Institucional #1B365D): Transmite confianza, seriedad y solidez tecnológica, utilizado en barras de navegación principales, botones de acción primaria y encabezados de tablas.</w:t>
      </w:r>
    </w:p>
    <w:p w14:paraId="30BBDD02" w14:textId="77777777" w:rsidR="00652663" w:rsidRDefault="00000000" w:rsidP="00CA152A">
      <w:pPr>
        <w:jc w:val="both"/>
      </w:pPr>
      <w:r>
        <w:t>• Color Secundario (Gris Neutro / Pizarra #F4F6F9): Empleado en fondos de contenedores, tarjetas de métricas y áreas de trabajo del dashboard para reducir la fatiga visual en uso prolongado.</w:t>
      </w:r>
    </w:p>
    <w:p w14:paraId="321A6A66" w14:textId="77777777" w:rsidR="00652663" w:rsidRDefault="00000000" w:rsidP="00CA152A">
      <w:pPr>
        <w:jc w:val="both"/>
      </w:pPr>
      <w:r>
        <w:t>• Color de Acento (Verde Esmeralda / Ámbar Institucional #008080): Destinado a estados de éxito, botones de confirmación de pauta y alertas operativas de validación HMAC.</w:t>
      </w:r>
    </w:p>
    <w:p w14:paraId="3A708846" w14:textId="77777777" w:rsidR="00652663" w:rsidRDefault="00000000" w:rsidP="00CA152A">
      <w:pPr>
        <w:jc w:val="both"/>
      </w:pPr>
      <w:r>
        <w:t>• Tipografía Base: Uso de fuentes sans-serif escalables (Roboto o Inter) con jerarquías estrictas en tamaños de 12px a 24px para optimizar la legibilidad en pantallas de escritorio y dispositivos móviles.</w:t>
      </w:r>
    </w:p>
    <w:p w14:paraId="0A28A845" w14:textId="77777777" w:rsidR="00652663" w:rsidRDefault="00000000" w:rsidP="00CA152A">
      <w:pPr>
        <w:pStyle w:val="Ttulo1"/>
        <w:jc w:val="both"/>
      </w:pPr>
      <w:r>
        <w:t>3. Prototipado de Interfaces y Estructuras (Wireframes)</w:t>
      </w:r>
    </w:p>
    <w:p w14:paraId="54CC1371" w14:textId="77777777" w:rsidR="00652663" w:rsidRDefault="00000000" w:rsidP="00CA152A">
      <w:pPr>
        <w:jc w:val="both"/>
      </w:pPr>
      <w:r>
        <w:t>Se han diseñado prototipos de baja y alta fidelidad para las pantallas críticas del sistema, garantizando un flujo de usuario optimizado que minimiza la cantidad de clics para completar tareas complejas:</w:t>
      </w:r>
    </w:p>
    <w:p w14:paraId="3412AE9E" w14:textId="77777777" w:rsidR="00652663" w:rsidRDefault="00000000" w:rsidP="00CA152A">
      <w:pPr>
        <w:jc w:val="both"/>
      </w:pPr>
      <w:r>
        <w:lastRenderedPageBreak/>
        <w:t>• Módulo de Autenticación y Control de Accesos (RBAC): Pantalla de inicio de sesión con validación de doble factor (2FA) y recuperación de credenciales mediante tokens seguros cifrados.</w:t>
      </w:r>
    </w:p>
    <w:p w14:paraId="4BC1B1B3" w14:textId="77777777" w:rsidR="00652663" w:rsidRDefault="00000000" w:rsidP="00CA152A">
      <w:pPr>
        <w:jc w:val="both"/>
      </w:pPr>
      <w:r>
        <w:t>• Panel de Control (Dashboard Principal): Vista centralizada para administradores y operadores con indicadores clave de rendimiento (KPIs), gráficos estadísticos de impresiones publicitarias y accesos directos a la gestión de campañas.</w:t>
      </w:r>
    </w:p>
    <w:p w14:paraId="60CAF2BF" w14:textId="77777777" w:rsidR="00652663" w:rsidRDefault="00000000" w:rsidP="00CA152A">
      <w:pPr>
        <w:jc w:val="both"/>
      </w:pPr>
      <w:r>
        <w:t>• Formulario de Parametrización de Pautas: Interfaz guiada por pasos (Wizard) para la creación, segmentación geográfica y programación temporal de anuncios orientados a portales aliados.</w:t>
      </w:r>
    </w:p>
    <w:p w14:paraId="64CF779B" w14:textId="77777777" w:rsidR="00652663" w:rsidRDefault="00000000" w:rsidP="00CA152A">
      <w:pPr>
        <w:jc w:val="both"/>
      </w:pPr>
      <w:r>
        <w:t>• Módulo de Auditoría y Logs: Tablas de datos enriquecidas con filtros avanzados, paginación del lado del servidor y herramientas de búsqueda rápida para supervisar transacciones de sindicación.</w:t>
      </w:r>
    </w:p>
    <w:p w14:paraId="062C5692" w14:textId="77777777" w:rsidR="00652663" w:rsidRDefault="00000000" w:rsidP="00CA152A">
      <w:pPr>
        <w:pStyle w:val="Ttulo1"/>
        <w:jc w:val="both"/>
      </w:pPr>
      <w:r>
        <w:t>4. Maquetación y Especificación Técnica Frontend</w:t>
      </w:r>
    </w:p>
    <w:p w14:paraId="6E01C9AC" w14:textId="77777777" w:rsidR="00652663" w:rsidRDefault="00000000" w:rsidP="00CA152A">
      <w:pPr>
        <w:jc w:val="both"/>
      </w:pPr>
      <w:r>
        <w:t>La implementación de las interfaces prototipadas se rige bajo los siguientes estándares de desarrollo frontend:</w:t>
      </w:r>
    </w:p>
    <w:p w14:paraId="55A2B2E2" w14:textId="77777777" w:rsidR="00652663" w:rsidRDefault="00000000" w:rsidP="00CA152A">
      <w:pPr>
        <w:jc w:val="both"/>
      </w:pPr>
      <w:r>
        <w:t>• Enfoque Mobile-First: Garantiza la adaptabilidad visual fluida (responsive design) en smartphones, tablets y estaciones de trabajo de escritorio mediante el uso de frameworks CSS modernos (Tailwind CSS o Bootstrap 5).</w:t>
      </w:r>
    </w:p>
    <w:p w14:paraId="5DB57B6A" w14:textId="77777777" w:rsidR="00652663" w:rsidRDefault="00000000" w:rsidP="00CA152A">
      <w:pPr>
        <w:jc w:val="both"/>
      </w:pPr>
      <w:r>
        <w:t>• Componentes Modulares: Creación de elementos reutilizables (tarjetas, modales, formularios, alertas y tablas dinámicas) para mantener la mantenibilidad del código y la velocidad de carga de la aplicación.</w:t>
      </w:r>
    </w:p>
    <w:p w14:paraId="164C8041" w14:textId="77777777" w:rsidR="00652663" w:rsidRDefault="00000000" w:rsidP="00CA152A">
      <w:pPr>
        <w:jc w:val="both"/>
      </w:pPr>
      <w:r>
        <w:t>• Accesibilidad y Estándares WAI-ARIA: Inclusión de etiquetas semánticas HTML5, contrastes de color validados y soporte completo para navegación mediante teclado.</w:t>
      </w:r>
    </w:p>
    <w:p w14:paraId="0FE102ED" w14:textId="77777777" w:rsidR="00652663" w:rsidRDefault="00000000" w:rsidP="00CA152A">
      <w:pPr>
        <w:pStyle w:val="Ttulo1"/>
        <w:jc w:val="both"/>
      </w:pPr>
      <w:r>
        <w:t>5. Arquitectura de la Información y Mapa de Navegación</w:t>
      </w:r>
    </w:p>
    <w:p w14:paraId="4639F23F" w14:textId="77777777" w:rsidR="00652663" w:rsidRDefault="00000000" w:rsidP="00CA152A">
      <w:pPr>
        <w:jc w:val="both"/>
      </w:pPr>
      <w:r>
        <w:t>El mapa de navegación de Naltel se estructura en forma de árbol jerárquico para asegurar que el usuario mantenga en todo momento la orientación dentro de la plataforma:</w:t>
      </w:r>
    </w:p>
    <w:p w14:paraId="380F44E9" w14:textId="77777777" w:rsidR="00652663" w:rsidRDefault="00000000" w:rsidP="00CA152A">
      <w:pPr>
        <w:jc w:val="both"/>
      </w:pPr>
      <w:r>
        <w:t>1. Nivel Raíz / Autenticación: Login -&gt; Recuperación de Contraseña.</w:t>
      </w:r>
    </w:p>
    <w:p w14:paraId="3CD3794F" w14:textId="77777777" w:rsidR="00652663" w:rsidRDefault="00000000" w:rsidP="00CA152A">
      <w:pPr>
        <w:jc w:val="both"/>
      </w:pPr>
      <w:r>
        <w:t>2. Nivel Principal / Dashboard General: Resumen ejecutivo y accesos rápidos.</w:t>
      </w:r>
    </w:p>
    <w:p w14:paraId="17E19D4D" w14:textId="77777777" w:rsidR="00652663" w:rsidRDefault="00000000" w:rsidP="00CA152A">
      <w:pPr>
        <w:jc w:val="both"/>
      </w:pPr>
      <w:r>
        <w:t xml:space="preserve">   ├── Módulo de Gestión de Campañas: Crear Pauta, Listado Activas, Historial y Reportes de Rendimiento.</w:t>
      </w:r>
    </w:p>
    <w:p w14:paraId="455C3F08" w14:textId="77777777" w:rsidR="00652663" w:rsidRDefault="00000000" w:rsidP="00CA152A">
      <w:pPr>
        <w:jc w:val="both"/>
      </w:pPr>
      <w:r>
        <w:t xml:space="preserve">   ├── Módulo de Sindicación y Portales: Asociar Aliados, Validar Firmas HMAC y Monitoreo de Canales.</w:t>
      </w:r>
    </w:p>
    <w:p w14:paraId="7EEAE840" w14:textId="77777777" w:rsidR="00652663" w:rsidRDefault="00000000" w:rsidP="00CA152A">
      <w:pPr>
        <w:jc w:val="both"/>
      </w:pPr>
      <w:r>
        <w:lastRenderedPageBreak/>
        <w:t xml:space="preserve">   ├── Módulo de Administración y Seguridad: Control de Usuarios (RBAC), Bitácoras de Auditoría y Configuración del Sistema.</w:t>
      </w:r>
    </w:p>
    <w:p w14:paraId="14DCD0FE" w14:textId="77777777" w:rsidR="00652663" w:rsidRDefault="00000000" w:rsidP="00CA152A">
      <w:pPr>
        <w:jc w:val="both"/>
      </w:pPr>
      <w:r>
        <w:t xml:space="preserve">   └── Módulo de Soporte y Ayuda: Manuales de Usuario y Contacto Técnico.</w:t>
      </w:r>
    </w:p>
    <w:p w14:paraId="764A6FEB" w14:textId="77777777" w:rsidR="00652663" w:rsidRDefault="00000000" w:rsidP="00CA152A">
      <w:pPr>
        <w:pStyle w:val="Ttulo1"/>
        <w:jc w:val="both"/>
      </w:pPr>
      <w:r>
        <w:t>6. Conclusiones</w:t>
      </w:r>
    </w:p>
    <w:p w14:paraId="20B48DCC" w14:textId="77777777" w:rsidR="00652663" w:rsidRDefault="00000000" w:rsidP="00CA152A">
      <w:pPr>
        <w:jc w:val="both"/>
      </w:pPr>
      <w:r>
        <w:t>El diseño de interfaces y el modelado de la experiencia de usuario (UI/UX) completan la fase analítica y de diseño técnico de la plataforma Naltel. Al alinear los prototipos visuales con los requerimientos legales, la arquitectura limpia y el modelo de datos normalizado (3FN), se garantiza una transición robusta y estructurada hacia la etapa de codificación modular y desarrollo de software en la pasantía con elSitiolegal A&amp;C.</w:t>
      </w:r>
    </w:p>
    <w:sectPr w:rsidR="0065266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725953">
    <w:abstractNumId w:val="8"/>
  </w:num>
  <w:num w:numId="2" w16cid:durableId="1540826038">
    <w:abstractNumId w:val="6"/>
  </w:num>
  <w:num w:numId="3" w16cid:durableId="1239293172">
    <w:abstractNumId w:val="5"/>
  </w:num>
  <w:num w:numId="4" w16cid:durableId="1729495527">
    <w:abstractNumId w:val="4"/>
  </w:num>
  <w:num w:numId="5" w16cid:durableId="111443677">
    <w:abstractNumId w:val="7"/>
  </w:num>
  <w:num w:numId="6" w16cid:durableId="184252838">
    <w:abstractNumId w:val="3"/>
  </w:num>
  <w:num w:numId="7" w16cid:durableId="1363479941">
    <w:abstractNumId w:val="2"/>
  </w:num>
  <w:num w:numId="8" w16cid:durableId="1466506486">
    <w:abstractNumId w:val="1"/>
  </w:num>
  <w:num w:numId="9" w16cid:durableId="25520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2663"/>
    <w:rsid w:val="00AA1D8D"/>
    <w:rsid w:val="00B47730"/>
    <w:rsid w:val="00C16442"/>
    <w:rsid w:val="00CA152A"/>
    <w:rsid w:val="00CB0664"/>
    <w:rsid w:val="00D16B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7E14FA"/>
  <w14:defaultImageDpi w14:val="300"/>
  <w15:docId w15:val="{54DBF6A2-8109-4D28-90AE-693B2AF6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Wilson Caguasango</cp:lastModifiedBy>
  <cp:revision>3</cp:revision>
  <cp:lastPrinted>2026-11-01T15:58:00Z</cp:lastPrinted>
  <dcterms:created xsi:type="dcterms:W3CDTF">2013-12-23T23:15:00Z</dcterms:created>
  <dcterms:modified xsi:type="dcterms:W3CDTF">2026-11-01T15:58:00Z</dcterms:modified>
  <cp:category/>
</cp:coreProperties>
</file>